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1D" w:rsidRPr="00C1511D" w:rsidRDefault="00C1511D" w:rsidP="00C1511D">
      <w:pPr>
        <w:shd w:val="clear" w:color="auto" w:fill="FFFFFF"/>
        <w:spacing w:before="275" w:line="240" w:lineRule="auto"/>
        <w:outlineLvl w:val="2"/>
        <w:rPr>
          <w:rFonts w:ascii="Tahoma" w:eastAsia="Times New Roman" w:hAnsi="Tahoma" w:cs="Tahoma"/>
          <w:color w:val="153E76"/>
          <w:sz w:val="46"/>
          <w:szCs w:val="46"/>
          <w:lang w:eastAsia="ru-RU"/>
        </w:rPr>
      </w:pPr>
      <w:r w:rsidRPr="00C1511D">
        <w:rPr>
          <w:rFonts w:ascii="Tahoma" w:eastAsia="Times New Roman" w:hAnsi="Tahoma" w:cs="Tahoma"/>
          <w:color w:val="003370"/>
          <w:sz w:val="46"/>
          <w:szCs w:val="46"/>
          <w:lang w:eastAsia="ru-RU"/>
        </w:rPr>
        <w:t>Порядок определения цен (тарифов) на электрическую энергию (мощность) для каждой из обслуживаемых (планируемых к обслуживанию) категорий потребителей (покупателей).</w:t>
      </w:r>
    </w:p>
    <w:p w:rsidR="00C1511D" w:rsidRPr="00C1511D" w:rsidRDefault="00C1511D" w:rsidP="00C15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Электрическая энергия (мощность), за исключением продажи электрической энергии (мощности) населению и приравненным к нему категориям потребителей, продается гарантирующими поставщиками по нерегулируемым (свободным) ценам.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по шести ценовым категориям: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</w:p>
    <w:p w:rsidR="00C1511D" w:rsidRPr="00C1511D" w:rsidRDefault="00C1511D" w:rsidP="00C1511D">
      <w:pPr>
        <w:numPr>
          <w:ilvl w:val="0"/>
          <w:numId w:val="1"/>
        </w:numPr>
        <w:shd w:val="clear" w:color="auto" w:fill="FFFFFF"/>
        <w:spacing w:before="100" w:beforeAutospacing="1" w:after="73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первая ценовая категория - для объемов покупки электрической энергии (мощности), учет которых осуществляется в целом за расчетный период;</w:t>
      </w:r>
    </w:p>
    <w:p w:rsidR="00C1511D" w:rsidRPr="00C1511D" w:rsidRDefault="00C1511D" w:rsidP="00C1511D">
      <w:pPr>
        <w:numPr>
          <w:ilvl w:val="0"/>
          <w:numId w:val="1"/>
        </w:numPr>
        <w:shd w:val="clear" w:color="auto" w:fill="FFFFFF"/>
        <w:spacing w:before="100" w:beforeAutospacing="1" w:after="73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вторая ценовая категория - для объемов покупки электрической энергии (мощности), учет которых осуществляется по зонам суток расчетного периода;</w:t>
      </w:r>
    </w:p>
    <w:p w:rsidR="00C1511D" w:rsidRPr="00C1511D" w:rsidRDefault="00C1511D" w:rsidP="00C1511D">
      <w:pPr>
        <w:numPr>
          <w:ilvl w:val="0"/>
          <w:numId w:val="1"/>
        </w:numPr>
        <w:shd w:val="clear" w:color="auto" w:fill="FFFFFF"/>
        <w:spacing w:before="100" w:beforeAutospacing="1" w:after="73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третья ценовая категория - для объемов покупки электрической энергии (мощности), в отношении которых осуществляется почасовой учет, а стоимость услуг по передаче электрической энергии определяется по тарифу на услуги по передаче электрической энергии в одноставочном выражении;</w:t>
      </w:r>
    </w:p>
    <w:p w:rsidR="00C1511D" w:rsidRPr="00C1511D" w:rsidRDefault="00C1511D" w:rsidP="00C1511D">
      <w:pPr>
        <w:numPr>
          <w:ilvl w:val="0"/>
          <w:numId w:val="1"/>
        </w:numPr>
        <w:shd w:val="clear" w:color="auto" w:fill="FFFFFF"/>
        <w:spacing w:before="100" w:beforeAutospacing="1" w:after="73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четвертая ценовая категория - для объемов покупки электрической энергии (мощности), в отношении которых осуществляется почасовой учет, а стоимость услуг по передаче электрической энергии определяется по тарифу на услуги по передаче электрической энергии в двухставочном выражении;</w:t>
      </w:r>
    </w:p>
    <w:p w:rsidR="00C1511D" w:rsidRPr="00C1511D" w:rsidRDefault="00C1511D" w:rsidP="00C1511D">
      <w:pPr>
        <w:numPr>
          <w:ilvl w:val="0"/>
          <w:numId w:val="1"/>
        </w:numPr>
        <w:shd w:val="clear" w:color="auto" w:fill="FFFFFF"/>
        <w:spacing w:before="100" w:beforeAutospacing="1" w:after="73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пятая ценовая категория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одноставочном выражении;</w:t>
      </w:r>
    </w:p>
    <w:p w:rsidR="00C1511D" w:rsidRPr="00C1511D" w:rsidRDefault="00C1511D" w:rsidP="00C1511D">
      <w:pPr>
        <w:numPr>
          <w:ilvl w:val="0"/>
          <w:numId w:val="1"/>
        </w:numPr>
        <w:shd w:val="clear" w:color="auto" w:fill="FFFFFF"/>
        <w:spacing w:before="100" w:beforeAutospacing="1" w:after="73" w:line="22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шестая ценовая категория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двухставочном выражении.</w:t>
      </w:r>
    </w:p>
    <w:p w:rsidR="00C1511D" w:rsidRPr="00C1511D" w:rsidRDefault="00C1511D" w:rsidP="00C1511D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555555"/>
          <w:sz w:val="14"/>
          <w:szCs w:val="14"/>
          <w:u w:val="single"/>
          <w:lang w:eastAsia="ru-RU"/>
        </w:rPr>
      </w:pP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b/>
          <w:bCs/>
          <w:color w:val="003370"/>
          <w:sz w:val="14"/>
          <w:szCs w:val="14"/>
          <w:lang w:eastAsia="ru-RU"/>
        </w:rPr>
        <w:t>Первая ценовая категория.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proofErr w:type="gramStart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Предельный уровень нерегулируемых цен для первой ценовой категории состоит из ставки за электрическую энергию, которая применяется к фактическому объёму поставленной потребителю (покупателю) электрической энергии за расчетный период и состоит из следующих составляющих: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средневзвешенная нерегулируемая цена на электрическую энергию (мощность);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сетях;</w:t>
      </w:r>
      <w:proofErr w:type="gramEnd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сбытовая надбавка гарантирующего поставщика;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b/>
          <w:bCs/>
          <w:color w:val="003370"/>
          <w:sz w:val="14"/>
          <w:szCs w:val="14"/>
          <w:lang w:eastAsia="ru-RU"/>
        </w:rPr>
        <w:t>Вторая ценовая категория.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proofErr w:type="gramStart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Предельный уровень нерегулируемых цен для второй ценовой категории состоит из ставки за электрическую энергию, которая применяется к фактическому объёму поставленной потребителю (покупателю) электрической энергии в соответствующей зоне суток расчетного периода и состоит из следующих составляющих: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  <w:proofErr w:type="gramEnd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сбытовая надбавка гарантирующего поставщика;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b/>
          <w:bCs/>
          <w:color w:val="003370"/>
          <w:sz w:val="14"/>
          <w:szCs w:val="14"/>
          <w:lang w:eastAsia="ru-RU"/>
        </w:rPr>
        <w:t>Третья ценовая категория.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Предельный уровень нерегулируемых цен для третьей ценовой категории состоит из ставки за электрическую энергию и ставки за мощность.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 за электрическую энергию применяется к фактически поставленному потребителю (покупателю) объёму электрической энергии в каждый час расчетного периода (почасовому объёму) и состоит из следующих составляющих: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сбытовая надбавка гарантирующего поставщика;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 за мощность применяется к фактически поставленному потребителю (покупателю) объёму мощности в расчетном периоде и состоит из средневзвешенной нерегулируемой цены на мощность на оптовом рынке.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b/>
          <w:bCs/>
          <w:color w:val="003370"/>
          <w:sz w:val="14"/>
          <w:szCs w:val="14"/>
          <w:lang w:eastAsia="ru-RU"/>
        </w:rPr>
        <w:t>Четвертая ценовая категория.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lastRenderedPageBreak/>
        <w:t>Предельный уровень нерегулируемых цен для четвертой ценовой категории состоит из ставки за электрическую энергию и ставок за мощность.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 за электрическую энергию применяется к фактически поставленному потребителю (покупателю) объёму электрической энергии в каждый час расчетного периода (почасовому объёму) и состоит из следующих составляющих: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ставка, отражающая удельную величину расходов на содержание электрических сетей, двухставочного тарифа на услуги по передаче электрической энергии;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сбытовая надбавка гарантирующего поставщика;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 за мощность применяется к фактически поставленному потребителю (покупателю) объёму мощности в расчетном периоде и состоит из средневзвешенной нерегулируемой цены на мощность на оптовом рынке.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 за содержание электрических сетей двухставочного тарифа на услугу по передаче электрической энергии применяется к величине мощности, оплачиваемой потребителем (покупателем)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(сетевая мощность).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b/>
          <w:bCs/>
          <w:color w:val="003370"/>
          <w:sz w:val="14"/>
          <w:szCs w:val="14"/>
          <w:lang w:eastAsia="ru-RU"/>
        </w:rPr>
        <w:t>Пятая ценовая категория.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Предельный уровень нерегулируемых цен для пятой ценовой категории состоит из ставок за электрическую энергию и ставки за мощность.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 за электрическую энергию применяется к фактически поставленному потребителю (покупателю) почасовому объему покупки электрической в расчетном периоде и состоит из следующих составляющих: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ценовых заявок на сутки вперед;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сбытовая надбавка гарантирующего поставщика;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proofErr w:type="gramStart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Ставки за электрическую энергию в части оплаты отклонений фактических объёмов потребления от плановых объёмов определяются и применяются в следующем порядке: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и применяемая к объему превышения фактического почасового потребления над плановым;</w:t>
      </w:r>
      <w:proofErr w:type="gramEnd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и применяемая к объему превышения планового почасового потребления </w:t>
      </w:r>
      <w:proofErr w:type="gramStart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над</w:t>
      </w:r>
      <w:proofErr w:type="gramEnd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фактическим;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и применяемая к сумме плановых почасовых объемов покупки электрической энергии потребителя (покупателя) за расчетный период;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и применяемая к сумме абсолютных значений разностей фактических и плановых почасовых объемов покупки электрической энергии потребителя (покупателя) за расчетный период.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 за мощность применяется к фактически поставленному потребителю (покупателю) объёму мощности в расчетном периоде и состоит из средневзвешенной нерегулируемой цены на мощность на оптовом рынке.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b/>
          <w:bCs/>
          <w:color w:val="003370"/>
          <w:sz w:val="14"/>
          <w:szCs w:val="14"/>
          <w:lang w:eastAsia="ru-RU"/>
        </w:rPr>
        <w:t>Шестая ценовая категория.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Предельный уровень нерегулируемых цен для шестой ценовой категории состоит из ставок за электрическую энергию и ставок за мощность.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 за электрическую энергию применяется к фактически поставленному потребителю (покупателю) почасовому объему покупки электрической в расчетном периоде и состоит из следующих составляющих: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ценовых заявок на сутки вперед;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ставка, отражающая удельную величину расходов на содержание электрических сетей, двухставочного тарифа на услуги по передаче электрической энергии;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сбытовая надбавка гарантирующего поставщика;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proofErr w:type="gramStart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Ставки за электрическую энергию в части оплаты отклонений фактических объёмов потребления от плановых объёмов определяются и применяются в следующем порядке: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и применяемая к объему превышения фактического почасового потребления над плановым;</w:t>
      </w:r>
      <w:proofErr w:type="gramEnd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и применяемая к объему превышения планового почасового потребления </w:t>
      </w:r>
      <w:proofErr w:type="gramStart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над</w:t>
      </w:r>
      <w:proofErr w:type="gramEnd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фактическим;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и применяемая к сумме плановых почасовых объемов покупки электрической энергии потребителя (покупателя) за расчетный период;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и применяемая к сумме абсолютных значений разностей фактических и плановых почасовых объемов покупки электрической энергии потребителя (покупателя) за расчетный период.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 за мощность применяется к фактически поставленному потребителю (покупателю) объёму мощности в расчетном периоде и состоит из средневзвешенной нерегулируемой цены на мощность на оптовом рынке.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Ставка за содержание электрических сетей двухставочного тарифа на услугу по передаче электрической энергии применяется к величине мощности, оплачиваемой потребителем (покупателем)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(сетевая мощность).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Единые котловые тарифы на услуги по передаче электрической энергии по электрическим сетям Вологодской области устанавливаются Департаментом топливно-энергетического комплекса и тарифного регулирования Вологодской области в одноставочном (1,2,3 и 5 ценовые категории) и двухставочном (4 и 6 ценовые категории) выражении для следующих диапазонов напряжений НН -0,4 кВ; СН</w:t>
      </w:r>
      <w:proofErr w:type="gramStart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2</w:t>
      </w:r>
      <w:proofErr w:type="gramEnd"/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 xml:space="preserve"> -6-10 кВ; СН1 -35 кВ; ВН-110 кВ и более.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Сбытовая надбавка гарантирующего поставщика устанавливается Департаментом топливно-энергетического комплекса и тарифного регулирования Вологодской области и различается по размеру для подгрупп группы «прочие потребители» в зависимости от величины максимальной мощности принадлежащих им энергопринимающих устройств: «менее 670 кВт»; «от 670 кВт до 10 МВт»; «не менее 10 МВт».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Часы для определения объёма фактически поставленной мощности потребителю (покупателю) и составляющие предельных уровней нерегулируемых цен на оптовом рынке за расчетный период рассчитываются и публикуются коммерческим оператором оптового рынка (АО АТС).</w:t>
      </w:r>
      <w:r w:rsidRPr="00C1511D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C1511D">
        <w:rPr>
          <w:rFonts w:ascii="Tahoma" w:eastAsia="Times New Roman" w:hAnsi="Tahoma" w:cs="Tahoma"/>
          <w:i/>
          <w:iCs/>
          <w:color w:val="555555"/>
          <w:sz w:val="14"/>
          <w:szCs w:val="14"/>
          <w:u w:val="single"/>
          <w:lang w:eastAsia="ru-RU"/>
        </w:rPr>
        <w:lastRenderedPageBreak/>
        <w:br/>
      </w:r>
    </w:p>
    <w:p w:rsidR="00C1511D" w:rsidRPr="00C1511D" w:rsidRDefault="00C1511D" w:rsidP="00C1511D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i/>
          <w:iCs/>
          <w:color w:val="555555"/>
          <w:sz w:val="14"/>
          <w:szCs w:val="14"/>
          <w:u w:val="single"/>
          <w:lang w:eastAsia="ru-RU"/>
        </w:rPr>
      </w:pPr>
      <w:hyperlink r:id="rId5" w:history="1">
        <w:r w:rsidRPr="00C1511D">
          <w:rPr>
            <w:rFonts w:ascii="Tahoma" w:eastAsia="Times New Roman" w:hAnsi="Tahoma" w:cs="Tahoma"/>
            <w:i/>
            <w:iCs/>
            <w:color w:val="153E76"/>
            <w:sz w:val="14"/>
            <w:lang w:eastAsia="ru-RU"/>
          </w:rPr>
          <w:t>Постановление Правительства РФ от 29.12.2011 N 1179 «Об определении и применении гарантирующими поставщиками нерегулируемых цен на электрическую энергию (мощность</w:t>
        </w:r>
      </w:hyperlink>
      <w:r w:rsidRPr="00C1511D">
        <w:rPr>
          <w:rFonts w:ascii="Tahoma" w:eastAsia="Times New Roman" w:hAnsi="Tahoma" w:cs="Tahoma"/>
          <w:i/>
          <w:iCs/>
          <w:color w:val="555555"/>
          <w:sz w:val="14"/>
          <w:szCs w:val="14"/>
          <w:u w:val="single"/>
          <w:lang w:eastAsia="ru-RU"/>
        </w:rPr>
        <w:t>)».</w:t>
      </w:r>
    </w:p>
    <w:p w:rsidR="00AA1133" w:rsidRDefault="00AA1133"/>
    <w:sectPr w:rsidR="00AA1133" w:rsidSect="00AA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923"/>
    <w:multiLevelType w:val="multilevel"/>
    <w:tmpl w:val="4FA0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/>
  <w:rsids>
    <w:rsidRoot w:val="00C1511D"/>
    <w:rsid w:val="00AA1133"/>
    <w:rsid w:val="00C1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33"/>
  </w:style>
  <w:style w:type="paragraph" w:styleId="3">
    <w:name w:val="heading 3"/>
    <w:basedOn w:val="a"/>
    <w:link w:val="30"/>
    <w:uiPriority w:val="9"/>
    <w:qFormat/>
    <w:rsid w:val="00C1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51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669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single" w:sz="6" w:space="9" w:color="153E76"/>
            <w:right w:val="none" w:sz="0" w:space="0" w:color="auto"/>
          </w:divBdr>
        </w:div>
        <w:div w:id="1395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418">
              <w:marLeft w:val="0"/>
              <w:marRight w:val="0"/>
              <w:marTop w:val="367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5373">
                  <w:marLeft w:val="0"/>
                  <w:marRight w:val="0"/>
                  <w:marTop w:val="0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vesk.ru/upload/iblock/a99/a99daa050d60cade6afe6e3fc40cd8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1911</Words>
  <Characters>10895</Characters>
  <Application>Microsoft Office Word</Application>
  <DocSecurity>0</DocSecurity>
  <Lines>90</Lines>
  <Paragraphs>25</Paragraphs>
  <ScaleCrop>false</ScaleCrop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2020-03-11T08:56:00Z</dcterms:created>
  <dcterms:modified xsi:type="dcterms:W3CDTF">2020-03-11T08:56:00Z</dcterms:modified>
</cp:coreProperties>
</file>